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before="0" w:line="276" w:lineRule="auto"/>
        <w:jc w:val="center"/>
        <w:rPr/>
      </w:pPr>
      <w:r w:rsidDel="00000000" w:rsidR="00000000" w:rsidRPr="00000000">
        <w:rPr>
          <w:rFonts w:ascii="Titillium Web" w:cs="Titillium Web" w:eastAsia="Titillium Web" w:hAnsi="Titillium Web"/>
          <w:b w:val="1"/>
          <w:bCs w:val="1"/>
          <w:color w:val="000000"/>
          <w:sz w:val="24"/>
          <w:szCs w:val="24"/>
          <w:rtl w:val="0"/>
        </w:rPr>
        <w:t xml:space="preserve">Programma Operativo Complementare (POC) «Per la Scuola» 2014-2020 – finanziato con il Fondo di Rotazione (FdR)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60" w:before="0" w:line="276" w:lineRule="auto"/>
        <w:jc w:val="center"/>
        <w:rPr/>
      </w:pPr>
      <w:r w:rsidDel="00000000" w:rsidR="00000000" w:rsidRPr="00000000">
        <w:rPr>
          <w:rFonts w:ascii="Titillium Web" w:cs="Titillium Web" w:eastAsia="Titillium Web" w:hAnsi="Titillium Web"/>
          <w:i w:val="1"/>
          <w:iCs w:val="1"/>
          <w:color w:val="000000"/>
          <w:sz w:val="24"/>
          <w:szCs w:val="24"/>
          <w:rtl w:val="0"/>
        </w:rPr>
        <w:t xml:space="preserve">Avviso pubblico prot. n. 64310 del 23/04/2025 – Percorsi di orientamento rivolti alle classi terze, quarte e quinte delle istituzioni scolastiche secondarie di secondo grado.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0" w:line="276" w:lineRule="auto"/>
        <w:jc w:val="center"/>
        <w:rPr/>
      </w:pPr>
      <w:r w:rsidDel="00000000" w:rsidR="00000000" w:rsidRPr="00000000">
        <w:rPr>
          <w:rFonts w:ascii="Titillium Web" w:cs="Titillium Web" w:eastAsia="Titillium Web" w:hAnsi="Titillium Web"/>
          <w:b w:val="1"/>
          <w:bCs w:val="1"/>
          <w:color w:val="000000"/>
          <w:sz w:val="24"/>
          <w:szCs w:val="24"/>
          <w:rtl w:val="0"/>
        </w:rPr>
        <w:t xml:space="preserve">Codice Progetto (CNP): 10.1.6A-FDRPOC-PI-2024-36 «Percorsi Orientamento» – CUP: H14D25001080001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before="0" w:line="276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ALLEGATI ALL’</w:t>
      </w:r>
      <w:r w:rsidDel="00000000" w:rsidR="00000000" w:rsidRPr="00000000">
        <w:rPr>
          <w:rFonts w:ascii="Titillium Web" w:cs="Titillium Web" w:eastAsia="Titillium Web" w:hAnsi="Titillium Web"/>
          <w:b w:val="1"/>
          <w:bCs w:val="1"/>
          <w:color w:val="000000"/>
          <w:sz w:val="24"/>
          <w:szCs w:val="24"/>
          <w:rtl w:val="0"/>
        </w:rPr>
        <w:t xml:space="preserve">AVVISO PUBBLICO DI SELEZIONE DI ESPERTI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0" w:line="276" w:lineRule="auto"/>
        <w:jc w:val="center"/>
        <w:rPr>
          <w:rFonts w:ascii="Titillium Web" w:cs="Titillium Web" w:eastAsia="Titillium Web" w:hAnsi="Titillium Web"/>
          <w:color w:val="000000"/>
          <w:sz w:val="24"/>
          <w:szCs w:val="24"/>
        </w:rPr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Obiettivo specifico 10.1 – Azione 10.1.6 – Sotto-azione 10.1.6A</w:t>
      </w:r>
    </w:p>
    <w:p w:rsidR="00000000" w:rsidDel="00000000" w:rsidP="00000000" w:rsidRDefault="00000000" w:rsidRPr="00000000" w14:paraId="00000006">
      <w:pPr>
        <w:pageBreakBefore w:val="1"/>
        <w:spacing w:after="200" w:before="0" w:line="276" w:lineRule="auto"/>
        <w:jc w:val="center"/>
        <w:rPr/>
      </w:pPr>
      <w:r w:rsidDel="00000000" w:rsidR="00000000" w:rsidRPr="00000000">
        <w:rPr>
          <w:rFonts w:ascii="Titillium Web" w:cs="Titillium Web" w:eastAsia="Titillium Web" w:hAnsi="Titillium Web"/>
          <w:b w:val="1"/>
          <w:bCs w:val="1"/>
          <w:color w:val="000000"/>
          <w:sz w:val="24"/>
          <w:szCs w:val="24"/>
          <w:rtl w:val="0"/>
        </w:rPr>
        <w:t xml:space="preserve">ALLEGATO A – Domanda di partecipazione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before="0" w:line="276" w:lineRule="auto"/>
        <w:jc w:val="left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Al Dirigente Scolastico del Liceo Artistico Musicale e Coreutico Statale «Felice Casorati» – Novara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before="0" w:line="276" w:lineRule="auto"/>
        <w:jc w:val="both"/>
        <w:rPr/>
      </w:pPr>
      <w:r w:rsidDel="00000000" w:rsidR="00000000" w:rsidRPr="00000000">
        <w:rPr>
          <w:rFonts w:ascii="Titillium Web" w:cs="Titillium Web" w:eastAsia="Titillium Web" w:hAnsi="Titillium Web"/>
          <w:b w:val="1"/>
          <w:bCs w:val="1"/>
          <w:color w:val="000000"/>
          <w:sz w:val="24"/>
          <w:szCs w:val="24"/>
          <w:rtl w:val="0"/>
        </w:rPr>
        <w:t xml:space="preserve">OGGETTO:</w:t>
      </w: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 domanda di partecipazione alla selezione di esperti – Progetto 10.1.6A-FDRPOC-PI-2024-36 «Percorsi Orientamento» – POC «Per la Scuola» 2014-2020 – Avviso prot. AOOGABMI n. 64310 del 23 aprile 2025 – CUP H14D25001080001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before="0" w:line="276" w:lineRule="auto"/>
        <w:jc w:val="left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Il/La sottoscritto/a __________________________________ nato/a a ______________________ il ______________ residente a ______________________ (___) in Via/Piazza ______________________________ n. _____ C.F. ________________________, in qualità di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567"/>
        </w:tabs>
        <w:spacing w:after="40" w:before="0" w:line="276" w:lineRule="auto"/>
        <w:ind w:left="567" w:hanging="567"/>
        <w:jc w:val="both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□docente di altra istituzione scolastica in collaborazione plurima;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567"/>
        </w:tabs>
        <w:spacing w:after="40" w:before="0" w:line="276" w:lineRule="auto"/>
        <w:ind w:left="567" w:hanging="567"/>
        <w:jc w:val="both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□esperto esterno persona fisica;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567"/>
        </w:tabs>
        <w:spacing w:after="120" w:before="0" w:line="276" w:lineRule="auto"/>
        <w:ind w:left="567" w:hanging="567"/>
        <w:jc w:val="left"/>
        <w:rPr/>
      </w:pPr>
      <w:r w:rsidDel="00000000" w:rsidR="00000000" w:rsidRPr="00000000">
        <w:rPr>
          <w:rFonts w:ascii="Arial Unicode MS" w:cs="Arial Unicode MS" w:eastAsia="Arial Unicode MS" w:hAnsi="Arial Unicode MS"/>
          <w:color w:val="000000"/>
          <w:sz w:val="24"/>
          <w:szCs w:val="24"/>
          <w:rtl w:val="0"/>
        </w:rPr>
        <w:t xml:space="preserve">□legale rappresentante di associazione/ente/società (denominazione ____________________________, sede ______________________, P.IVA/C.F. ________________), che indica quale esperto il/la sig./sig.ra ____________________________,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120" w:before="100" w:line="276" w:lineRule="auto"/>
        <w:jc w:val="center"/>
        <w:rPr/>
      </w:pPr>
      <w:r w:rsidDel="00000000" w:rsidR="00000000" w:rsidRPr="00000000">
        <w:rPr>
          <w:rFonts w:ascii="Titillium Web" w:cs="Titillium Web" w:eastAsia="Titillium Web" w:hAnsi="Titillium Web"/>
          <w:b w:val="1"/>
          <w:bCs w:val="1"/>
          <w:color w:val="000000"/>
          <w:sz w:val="24"/>
          <w:szCs w:val="24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0" w:line="276" w:lineRule="auto"/>
        <w:jc w:val="left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di essere ammesso/a a partecipare alla procedura in oggetto per il/i seguente/i modulo/i e intervento/i: __________________________________________________________________________________________.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before="0" w:line="276" w:lineRule="auto"/>
        <w:jc w:val="both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Consapevole che la falsità in atti e le dichiarazioni mendaci sono punite ai sensi del codice penale e delle leggi speciali in materia e che l’accertata non veridicità comporta la decadenza dai benefici eventualmente conseguiti (art. 75 D.P.R. n. 445/2000), ai sensi degli articoli 46 e 47 del D.P.R. n. 445/2000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spacing w:after="120" w:before="0" w:line="276" w:lineRule="auto"/>
        <w:jc w:val="center"/>
        <w:rPr/>
      </w:pPr>
      <w:r w:rsidDel="00000000" w:rsidR="00000000" w:rsidRPr="00000000">
        <w:rPr>
          <w:rFonts w:ascii="Titillium Web" w:cs="Titillium Web" w:eastAsia="Titillium Web" w:hAnsi="Titillium Web"/>
          <w:b w:val="1"/>
          <w:bCs w:val="1"/>
          <w:color w:val="000000"/>
          <w:sz w:val="24"/>
          <w:szCs w:val="24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567"/>
        </w:tabs>
        <w:spacing w:after="60" w:before="0" w:line="276" w:lineRule="auto"/>
        <w:ind w:left="567" w:hanging="567"/>
        <w:jc w:val="both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1.di possedere la cittadinanza italiana o di uno Stato membro dell’Unione europea, ovvero di trovarsi nella condizione di cui all’articolo 38 del D.Lgs. n. 165/2001;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567"/>
        </w:tabs>
        <w:spacing w:after="60" w:before="0" w:line="276" w:lineRule="auto"/>
        <w:ind w:left="567" w:hanging="567"/>
        <w:jc w:val="both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2.di godere dei diritti civili e politici;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567"/>
        </w:tabs>
        <w:spacing w:after="60" w:before="0" w:line="276" w:lineRule="auto"/>
        <w:ind w:left="567" w:hanging="567"/>
        <w:jc w:val="both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3.di possedere l’idoneità allo svolgimento delle funzioni oggetto della selezione;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567"/>
        </w:tabs>
        <w:spacing w:after="60" w:before="0" w:line="276" w:lineRule="auto"/>
        <w:ind w:left="567" w:hanging="567"/>
        <w:jc w:val="both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4.di non aver riportato condanne penali, passate in giudicato, per reati che comportano l’interdizione dai pubblici uffici e di non essere destinatario/a di provvedimenti iscritti nel casellario giudiziale che precludano la costituzione del rapporto;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567"/>
        </w:tabs>
        <w:spacing w:after="60" w:before="0" w:line="276" w:lineRule="auto"/>
        <w:ind w:left="567" w:hanging="567"/>
        <w:jc w:val="left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5.di non avere procedimenti penali pendenti di cui sia a conoscenza, ovvero di avere i seguenti procedimenti pendenti: ________________________________________;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567"/>
        </w:tabs>
        <w:spacing w:after="60" w:before="0" w:line="276" w:lineRule="auto"/>
        <w:ind w:left="567" w:hanging="567"/>
        <w:jc w:val="both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6.di non essere stato/a destituito/a o dispensato/a dall’impiego presso una pubblica amministrazione, né dichiarato/a decaduto/a o licenziato/a da un impiego statale;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567"/>
        </w:tabs>
        <w:spacing w:after="60" w:before="0" w:line="276" w:lineRule="auto"/>
        <w:ind w:left="567" w:hanging="567"/>
        <w:jc w:val="left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7.di non trovarsi in situazioni di incompatibilità ai sensi del D.Lgs. n. 39/2013 e dell’articolo 53 del D.Lgs. n. 165/2001, ovvero che sussistono le seguenti situazioni: ______________________________;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567"/>
        </w:tabs>
        <w:spacing w:after="60" w:before="0" w:line="276" w:lineRule="auto"/>
        <w:ind w:left="567" w:hanging="567"/>
        <w:jc w:val="both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8.di possedere il titolo di studio e i requisiti previsti per il modulo prescelto dall’Allegato B;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567"/>
        </w:tabs>
        <w:spacing w:after="60" w:before="0" w:line="276" w:lineRule="auto"/>
        <w:ind w:left="567" w:hanging="567"/>
        <w:jc w:val="both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9.di accettare integralmente le condizioni dell’avviso, il calendario definito dall’istituzione scolastica e le modalità di determinazione del compenso di cui all’articolo 9, comprese le conseguenze della chiusura anticipata del modulo;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567"/>
        </w:tabs>
        <w:spacing w:after="60" w:before="0" w:line="276" w:lineRule="auto"/>
        <w:ind w:left="567" w:hanging="567"/>
        <w:jc w:val="left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10.di eleggere i seguenti recapiti per ogni comunicazione, sollevando l’istituzione da responsabilità per dispersioni dipendenti da inesatta indicazione o da mancata comunicazione delle variazioni: residenza ________________________, e-mail ________________________, PEC ________________________, telefono ________________;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567"/>
        </w:tabs>
        <w:spacing w:after="60" w:before="0" w:line="276" w:lineRule="auto"/>
        <w:ind w:left="567" w:hanging="567"/>
        <w:jc w:val="both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11.di aver preso visione dell’informativa sul trattamento dei dati personali di cui all’articolo 12 dell’avviso, resa ai sensi degli articoli 13 e 14 del Regolamento UE 2016/679.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spacing w:after="120" w:before="100" w:line="276" w:lineRule="auto"/>
        <w:jc w:val="both"/>
        <w:rPr/>
      </w:pPr>
      <w:r w:rsidDel="00000000" w:rsidR="00000000" w:rsidRPr="00000000">
        <w:rPr>
          <w:rFonts w:ascii="Titillium Web" w:cs="Titillium Web" w:eastAsia="Titillium Web" w:hAnsi="Titillium Web"/>
          <w:b w:val="1"/>
          <w:bCs w:val="1"/>
          <w:color w:val="000000"/>
          <w:sz w:val="24"/>
          <w:szCs w:val="24"/>
          <w:rtl w:val="0"/>
        </w:rPr>
        <w:t xml:space="preserve">Solo per associazioni, enti e società</w:t>
      </w: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, il legale rappresentante dichiara inoltre: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567"/>
        </w:tabs>
        <w:spacing w:after="60" w:before="0" w:line="276" w:lineRule="auto"/>
        <w:ind w:left="567" w:hanging="567"/>
        <w:jc w:val="both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a)che il soggetto rappresentato è in possesso dei requisiti di ordine generale previsti dagli articoli 94 e seguenti del D.Lgs. n. 36/2023;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567"/>
        </w:tabs>
        <w:spacing w:after="60" w:before="0" w:line="276" w:lineRule="auto"/>
        <w:ind w:left="567" w:hanging="567"/>
        <w:jc w:val="both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b)che il soggetto rappresentato è in regola con gli obblighi contributivi (DURC);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567"/>
        </w:tabs>
        <w:spacing w:after="60" w:before="0" w:line="276" w:lineRule="auto"/>
        <w:ind w:left="567" w:hanging="567"/>
        <w:jc w:val="left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c)che al personale impiegato nell’esecuzione delle prestazioni è applicato il CCNL ______________________________, di cui assicura l’osservanza ai sensi dell’articolo 11 del D.Lgs. n. 36/2023;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567"/>
        </w:tabs>
        <w:spacing w:after="60" w:before="0" w:line="276" w:lineRule="auto"/>
        <w:ind w:left="567" w:hanging="567"/>
        <w:jc w:val="both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d)di assumere gli obblighi di tracciabilità dei flussi finanziari di cui alla legge n. 136/2010.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before="100" w:line="276" w:lineRule="auto"/>
        <w:jc w:val="both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Allega: scheda di autovalutazione (Allegato B); dichiarazione di assenza di conflitto di interessi (Allegato C); curriculum vitae in formato europeo sottoscritto, con dichiarazione di veridicità ai sensi degli articoli 46 e 47 del D.P.R. n. 445/2000; copia di documento di riconoscimento in corso di validità; [per i dipendenti di altra pubblica amministrazione] autorizzazione dell’amministrazione di appartenenza ai sensi dell’articolo 35 del CCNL 29 novembre 2007 e dell’articolo 53 del D.Lgs. n. 165/2001.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4800"/>
        </w:tabs>
        <w:spacing w:after="120" w:before="160" w:line="276" w:lineRule="auto"/>
        <w:jc w:val="left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Luogo e data __________________Firma 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1"/>
        <w:spacing w:after="200" w:before="0" w:line="276" w:lineRule="auto"/>
        <w:jc w:val="center"/>
        <w:rPr/>
      </w:pPr>
      <w:r w:rsidDel="00000000" w:rsidR="00000000" w:rsidRPr="00000000">
        <w:rPr>
          <w:rFonts w:ascii="Titillium Web" w:cs="Titillium Web" w:eastAsia="Titillium Web" w:hAnsi="Titillium Web"/>
          <w:b w:val="1"/>
          <w:bCs w:val="1"/>
          <w:color w:val="000000"/>
          <w:sz w:val="24"/>
          <w:szCs w:val="24"/>
          <w:rtl w:val="0"/>
        </w:rPr>
        <w:t xml:space="preserve">ALLEGATO B – Schede di autovalutazione per modulo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20" w:before="0" w:line="276" w:lineRule="auto"/>
        <w:jc w:val="left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Candidato/a: 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60" w:before="0" w:line="276" w:lineRule="auto"/>
        <w:jc w:val="left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Intervento/i: 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spacing w:after="120" w:before="0" w:line="276" w:lineRule="auto"/>
        <w:jc w:val="both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Il titolo di accesso, requisito di ammissione ai sensi dell’articolo 3, lettera c), è individuato per ciascun modulo nella tabella che segue.</w:t>
      </w: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00"/>
        <w:gridCol w:w="6638"/>
        <w:tblGridChange w:id="0">
          <w:tblGrid>
            <w:gridCol w:w="3000"/>
            <w:gridCol w:w="6638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Modulo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Titolo di accesso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color w:val="000000"/>
                <w:sz w:val="24"/>
                <w:szCs w:val="24"/>
                <w:rtl w:val="0"/>
              </w:rPr>
              <w:t xml:space="preserve">Scenografia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color w:val="000000"/>
                <w:sz w:val="24"/>
                <w:szCs w:val="24"/>
                <w:rtl w:val="0"/>
              </w:rPr>
              <w:t xml:space="preserve">Laurea o diploma accademico in ambito artistico, scenografico o dello spettacolo, ovvero comprovata e qualificata esperienza professionale nel settore dell’intervento (teatro, cinema, fotografia di scena)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color w:val="000000"/>
                <w:sz w:val="24"/>
                <w:szCs w:val="24"/>
                <w:rtl w:val="0"/>
              </w:rPr>
              <w:t xml:space="preserve">Coreutico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color w:val="000000"/>
                <w:sz w:val="24"/>
                <w:szCs w:val="24"/>
                <w:rtl w:val="0"/>
              </w:rPr>
              <w:t xml:space="preserve">Diploma accademico AFAM o laurea in discipline coreutiche, musicali o dello spettacolo, ovvero qualificata esperienza professionale nel settore teatrale, musicale e coreutico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color w:val="000000"/>
                <w:sz w:val="24"/>
                <w:szCs w:val="24"/>
                <w:rtl w:val="0"/>
              </w:rPr>
              <w:t xml:space="preserve">Arti Figurative – Novara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color w:val="000000"/>
                <w:sz w:val="24"/>
                <w:szCs w:val="24"/>
                <w:rtl w:val="0"/>
              </w:rPr>
              <w:t xml:space="preserve">Laurea o diploma accademico in ambito artistico, ovvero comprovata e qualificata esperienza professionale nel settore dell’intervento (curatela, restauro, fabbricazione digitale)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color w:val="000000"/>
                <w:sz w:val="24"/>
                <w:szCs w:val="24"/>
                <w:rtl w:val="0"/>
              </w:rPr>
              <w:t xml:space="preserve">Arti Figurative di Romagnano Sesia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color w:val="000000"/>
                <w:sz w:val="24"/>
                <w:szCs w:val="24"/>
                <w:rtl w:val="0"/>
              </w:rPr>
              <w:t xml:space="preserve">Laurea o diploma accademico in ambito artistico, ovvero comprovata e qualificata esperienza professionale nella lavorazione del marmo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color w:val="000000"/>
                <w:sz w:val="24"/>
                <w:szCs w:val="24"/>
                <w:rtl w:val="0"/>
              </w:rPr>
              <w:t xml:space="preserve">Conoscenza ed espressione del sé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color w:val="000000"/>
                <w:sz w:val="24"/>
                <w:szCs w:val="24"/>
                <w:rtl w:val="0"/>
              </w:rPr>
              <w:t xml:space="preserve">Laurea in discipline psicologiche, pedagogiche, della formazione o della comunicazione, ovvero comprovata esperienza professionale nell’orientamento, nella selezione del personale o nella comunicazione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color w:val="000000"/>
                <w:sz w:val="24"/>
                <w:szCs w:val="24"/>
                <w:rtl w:val="0"/>
              </w:rPr>
              <w:t xml:space="preserve">Orientamento specifico sulle discipline STEM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color w:val="000000"/>
                <w:sz w:val="24"/>
                <w:szCs w:val="24"/>
                <w:rtl w:val="0"/>
              </w:rPr>
              <w:t xml:space="preserve">Laurea in discipline scientifiche, tecnologiche, ingegneristiche o matematiche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color w:val="000000"/>
                <w:sz w:val="24"/>
                <w:szCs w:val="24"/>
                <w:rtl w:val="0"/>
              </w:rPr>
              <w:t xml:space="preserve">Arti Visive e Tecnologie Digitali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color w:val="000000"/>
                <w:sz w:val="24"/>
                <w:szCs w:val="24"/>
                <w:rtl w:val="0"/>
              </w:rPr>
              <w:t xml:space="preserve">Laurea o diploma accademico in ambito artistico o delle tecnologie digitali applicate alle arti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spacing w:after="120" w:before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1"/>
        <w:spacing w:after="120" w:before="0" w:line="276" w:lineRule="auto"/>
        <w:jc w:val="both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La commissione attribuisce i punteggi secondo la griglia che segue, sulla base di quanto dichiarato nella presente scheda e riscontrabile nel curriculum vitae. Il titolo di studio è valutato una sola volta, per il livello più elevato posseduto, ulteriore rispetto al titolo di accesso.</w:t>
      </w:r>
      <w:r w:rsidDel="00000000" w:rsidR="00000000" w:rsidRPr="00000000">
        <w:rPr>
          <w:rtl w:val="0"/>
        </w:rPr>
      </w:r>
    </w:p>
    <w:tbl>
      <w:tblPr>
        <w:tblStyle w:val="Table2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38"/>
        <w:gridCol w:w="2300"/>
        <w:gridCol w:w="1250"/>
        <w:gridCol w:w="1250"/>
        <w:tblGridChange w:id="0">
          <w:tblGrid>
            <w:gridCol w:w="4838"/>
            <w:gridCol w:w="2300"/>
            <w:gridCol w:w="1250"/>
            <w:gridCol w:w="1250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Criterio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Punteggio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Autoval.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Comm.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Titolo di studio ulteriore e attinente al modulo (laurea magistrale o diploma accademico di II livello: 6 punti; laurea o diploma accademico di I livello: 4 punti)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max 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Docenza in corsi attinenti agli argomenti dell’intervento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2 punti per corso, max 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Pubblicazioni attinenti agli argomenti dell’intervento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2 punti per pubblicazione, max 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Esperienza professionale attinente all’intervento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2 punti per anno o incarico, max 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Qualità del programma proposto: coerenza con le finalità orientative (max 4), metodologie attive e laboratoriali (max 3), verificabilità degli esiti (max 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max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Fonts w:ascii="Titillium Web" w:cs="Titillium Web" w:eastAsia="Titillium Web" w:hAnsi="Titillium Web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max 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tabs>
          <w:tab w:val="left" w:leader="none" w:pos="4800"/>
        </w:tabs>
        <w:spacing w:after="120" w:before="240" w:line="276" w:lineRule="auto"/>
        <w:jc w:val="left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Luogo e data __________________Firma 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1"/>
        <w:spacing w:after="200" w:before="0" w:line="276" w:lineRule="auto"/>
        <w:jc w:val="center"/>
        <w:rPr/>
      </w:pPr>
      <w:r w:rsidDel="00000000" w:rsidR="00000000" w:rsidRPr="00000000">
        <w:rPr>
          <w:rFonts w:ascii="Titillium Web" w:cs="Titillium Web" w:eastAsia="Titillium Web" w:hAnsi="Titillium Web"/>
          <w:b w:val="1"/>
          <w:bCs w:val="1"/>
          <w:color w:val="000000"/>
          <w:sz w:val="24"/>
          <w:szCs w:val="24"/>
          <w:rtl w:val="0"/>
        </w:rPr>
        <w:t xml:space="preserve">ALLEGATO C – Dichiarazione di assenza di conflitto di interessi e di cause di incompatibilità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120" w:before="0" w:line="276" w:lineRule="auto"/>
        <w:jc w:val="left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Il/La sottoscritto/a ______________________________ nato/a a ______________________ il ______________ C.F. ________________________, candidato/a alla selezione di esperti per il progetto 10.1.6A-FDRPOC-PI-2024-36 «Percorsi Orientamento» – CUP H14D25001080001, ai sensi degli articoli 46 e 47 del D.P.R. n. 445/2000 e consapevole delle sanzioni penali previste dall’articolo 76 del medesimo decreto per le dichiarazioni mendaci,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1"/>
        <w:spacing w:after="120" w:before="0" w:line="276" w:lineRule="auto"/>
        <w:jc w:val="center"/>
        <w:rPr/>
      </w:pPr>
      <w:r w:rsidDel="00000000" w:rsidR="00000000" w:rsidRPr="00000000">
        <w:rPr>
          <w:rFonts w:ascii="Titillium Web" w:cs="Titillium Web" w:eastAsia="Titillium Web" w:hAnsi="Titillium Web"/>
          <w:b w:val="1"/>
          <w:bCs w:val="1"/>
          <w:color w:val="000000"/>
          <w:sz w:val="24"/>
          <w:szCs w:val="24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tabs>
          <w:tab w:val="left" w:leader="none" w:pos="567"/>
        </w:tabs>
        <w:spacing w:after="60" w:before="0" w:line="276" w:lineRule="auto"/>
        <w:ind w:left="567" w:hanging="567"/>
        <w:jc w:val="both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1.di non trovarsi in alcuna delle cause di incompatibilità e inconferibilità previste dal D.Lgs. n. 39/2013;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tabs>
          <w:tab w:val="left" w:leader="none" w:pos="567"/>
        </w:tabs>
        <w:spacing w:after="60" w:before="0" w:line="276" w:lineRule="auto"/>
        <w:ind w:left="567" w:hanging="567"/>
        <w:jc w:val="both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2.di non trovarsi in situazioni di conflitto di interessi, anche potenziale, ai sensi dell’articolo 53, comma 14, del D.Lgs. n. 165/2001, che possano interferire con l’esercizio dell’incarico;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left" w:leader="none" w:pos="567"/>
        </w:tabs>
        <w:spacing w:after="60" w:before="0" w:line="276" w:lineRule="auto"/>
        <w:ind w:left="567" w:hanging="567"/>
        <w:jc w:val="both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3.di non intrattenere, direttamente o per interposta persona, rapporti economici o professionali con l’istituzione scolastica tali da condizionare l’imparzialità della prestazione;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tabs>
          <w:tab w:val="left" w:leader="none" w:pos="567"/>
        </w:tabs>
        <w:spacing w:after="60" w:before="0" w:line="276" w:lineRule="auto"/>
        <w:ind w:left="567" w:hanging="567"/>
        <w:jc w:val="both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4.di non avere rapporti di coniugio, parentela o affinità entro il quarto grado con il Responsabile Unico del Procedimento e con il Direttore dei servizi generali e amministrativi;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tabs>
          <w:tab w:val="left" w:leader="none" w:pos="567"/>
        </w:tabs>
        <w:spacing w:after="60" w:before="0" w:line="276" w:lineRule="auto"/>
        <w:ind w:left="567" w:hanging="567"/>
        <w:jc w:val="both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5.di non ricoprire la funzione di tutor nel medesimo modulo per il quale presenta candidatura;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tabs>
          <w:tab w:val="left" w:leader="none" w:pos="567"/>
        </w:tabs>
        <w:spacing w:after="60" w:before="0" w:line="276" w:lineRule="auto"/>
        <w:ind w:left="567" w:hanging="567"/>
        <w:jc w:val="both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6.di impegnarsi a comunicare tempestivamente ogni sopravvenuta situazione di conflitto di interessi o di incompatibilità.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tabs>
          <w:tab w:val="left" w:leader="none" w:pos="4800"/>
        </w:tabs>
        <w:spacing w:after="120" w:before="240" w:line="276" w:lineRule="auto"/>
        <w:jc w:val="left"/>
        <w:rPr/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4"/>
          <w:szCs w:val="24"/>
          <w:rtl w:val="0"/>
        </w:rPr>
        <w:t xml:space="preserve">Luogo e data __________________Firma ________________________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 w:orient="portrait"/>
      <w:pgMar w:bottom="1134" w:top="1134" w:left="1134" w:right="1134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 Unicode MS"/>
  <w:font w:name="Titillium Web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jc w:val="center"/>
      <w:rPr/>
    </w:pPr>
    <w:r w:rsidDel="00000000" w:rsidR="00000000" w:rsidRPr="00000000">
      <w:rPr>
        <w:rFonts w:ascii="Titillium Web" w:cs="Titillium Web" w:eastAsia="Titillium Web" w:hAnsi="Titillium Web"/>
        <w:color w:val="000000"/>
        <w:sz w:val="20"/>
        <w:szCs w:val="20"/>
        <w:rtl w:val="0"/>
      </w:rPr>
      <w:t xml:space="preserve">Pagina </w:t>
    </w:r>
    <w:r w:rsidDel="00000000" w:rsidR="00000000" w:rsidRPr="00000000">
      <w:rPr>
        <w:rFonts w:ascii="Titillium Web" w:cs="Titillium Web" w:eastAsia="Titillium Web" w:hAnsi="Titillium Web"/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tillium Web" w:cs="Titillium Web" w:eastAsia="Titillium Web" w:hAnsi="Titillium Web"/>
        <w:color w:val="000000"/>
        <w:sz w:val="20"/>
        <w:szCs w:val="20"/>
        <w:rtl w:val="0"/>
      </w:rPr>
      <w:t xml:space="preserve"> di </w:t>
    </w:r>
    <w:r w:rsidDel="00000000" w:rsidR="00000000" w:rsidRPr="00000000">
      <w:rPr>
        <w:rFonts w:ascii="Titillium Web" w:cs="Titillium Web" w:eastAsia="Titillium Web" w:hAnsi="Titillium Web"/>
        <w:color w:val="000000"/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jc w:val="center"/>
      <w:rPr/>
    </w:pPr>
    <w:r w:rsidDel="00000000" w:rsidR="00000000" w:rsidRPr="00000000">
      <w:rPr>
        <w:rFonts w:ascii="Titillium Web" w:cs="Titillium Web" w:eastAsia="Titillium Web" w:hAnsi="Titillium Web"/>
        <w:color w:val="000000"/>
        <w:sz w:val="20"/>
        <w:szCs w:val="20"/>
        <w:rtl w:val="0"/>
      </w:rPr>
      <w:t xml:space="preserve">Pagina </w:t>
    </w:r>
    <w:r w:rsidDel="00000000" w:rsidR="00000000" w:rsidRPr="00000000">
      <w:rPr>
        <w:rFonts w:ascii="Titillium Web" w:cs="Titillium Web" w:eastAsia="Titillium Web" w:hAnsi="Titillium Web"/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tillium Web" w:cs="Titillium Web" w:eastAsia="Titillium Web" w:hAnsi="Titillium Web"/>
        <w:color w:val="000000"/>
        <w:sz w:val="20"/>
        <w:szCs w:val="20"/>
        <w:rtl w:val="0"/>
      </w:rPr>
      <w:t xml:space="preserve"> di </w:t>
    </w:r>
    <w:r w:rsidDel="00000000" w:rsidR="00000000" w:rsidRPr="00000000">
      <w:rPr>
        <w:rFonts w:ascii="Titillium Web" w:cs="Titillium Web" w:eastAsia="Titillium Web" w:hAnsi="Titillium Web"/>
        <w:color w:val="000000"/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spacing w:after="0" w:before="0" w:line="240" w:lineRule="auto"/>
      <w:jc w:val="center"/>
      <w:rPr/>
    </w:pPr>
    <w:r w:rsidDel="00000000" w:rsidR="00000000" w:rsidRPr="00000000">
      <w:rPr/>
      <w:drawing>
        <wp:inline distB="0" distT="0" distL="0" distR="0">
          <wp:extent cx="6096000" cy="2381250"/>
          <wp:effectExtent b="0" l="0" r="0" t="0"/>
          <wp:docPr descr="Intestazione istituzionale" id="1" name="image1.png"/>
          <a:graphic>
            <a:graphicData uri="http://schemas.openxmlformats.org/drawingml/2006/picture">
              <pic:pic>
                <pic:nvPicPr>
                  <pic:cNvPr descr="Intestazione istituzional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096000" cy="23812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tillium Web" w:cs="Titillium Web" w:eastAsia="Titillium Web" w:hAnsi="Titillium Web"/>
        <w:sz w:val="24"/>
        <w:szCs w:val="24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</w:pPr>
    <w:rPr>
      <w:rFonts w:ascii="Titillium Web" w:cs="Titillium Web" w:eastAsia="Titillium Web" w:hAnsi="Titillium Web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</w:pPr>
    <w:rPr>
      <w:rFonts w:ascii="Titillium Web" w:cs="Titillium Web" w:eastAsia="Titillium Web" w:hAnsi="Titillium Web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</w:pPr>
    <w:rPr>
      <w:rFonts w:ascii="Titillium Web" w:cs="Titillium Web" w:eastAsia="Titillium Web" w:hAnsi="Titillium Web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</w:pPr>
    <w:rPr>
      <w:rFonts w:ascii="Titillium Web" w:cs="Titillium Web" w:eastAsia="Titillium Web" w:hAnsi="Titillium Web"/>
      <w:b w:val="0"/>
      <w:bCs w:val="0"/>
      <w:i w:val="1"/>
      <w:iCs w:val="1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</w:pPr>
    <w:rPr>
      <w:rFonts w:ascii="Titillium Web" w:cs="Titillium Web" w:eastAsia="Titillium Web" w:hAnsi="Titillium Web"/>
      <w:b w:val="0"/>
      <w:bCs w:val="0"/>
      <w:i w:val="0"/>
      <w:iCs w:val="0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</w:pPr>
    <w:rPr>
      <w:rFonts w:ascii="Titillium Web" w:cs="Titillium Web" w:eastAsia="Titillium Web" w:hAnsi="Titillium Web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</w:pPr>
    <w:rPr>
      <w:rFonts w:ascii="Titillium Web" w:cs="Titillium Web" w:eastAsia="Titillium Web" w:hAnsi="Titillium Web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tilliumWeb-regular.ttf"/><Relationship Id="rId2" Type="http://schemas.openxmlformats.org/officeDocument/2006/relationships/font" Target="fonts/TitilliumWeb-bold.ttf"/><Relationship Id="rId3" Type="http://schemas.openxmlformats.org/officeDocument/2006/relationships/font" Target="fonts/TitilliumWeb-italic.ttf"/><Relationship Id="rId4" Type="http://schemas.openxmlformats.org/officeDocument/2006/relationships/font" Target="fonts/TitilliumWeb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