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Intervento B: Realizzazione di percorsi formativi di lingua e di metodologia di durata annuale, finalizzati al potenziamento delle competenze linguistiche dei docenti in servizio e al miglioramento delle loro competenze metodologiche di insegnamento.</w:t>
            </w:r>
          </w:p>
          <w:p w:rsidR="00000000" w:rsidDel="00000000" w:rsidP="00000000" w:rsidRDefault="00000000" w:rsidRPr="00000000" w14:paraId="00000004">
            <w:pPr>
              <w:spacing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incarichi individuali, aventi ad oggetto N.4 FIGURE PROFESSIONALI PER IL TEAM DI LAVORO SUL  PROGETTO- PIANO NAZIONALE DI RIPRESA E RESILIENZA - MISSIONE 4: ISTRUZIONE E RICERCA - COMPONENTE 1 POTENZIAMENTO DELL’OFFERTA DEI SERVIZI DI ISTRUZIONE: DAGLI ASILI NIDO ALLE UNIVERSITÀ INVESTIMENTO 3.1: NUOVE COMPETENZE E NUOVI LINGUAGGI. AZIONI DI POTENZIAMENTO DELLE COMPETENZE STEM E MULTILINGUISTICHE (D.M. 65/2023) CUP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H14D23002660006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1920 del 09/04/2024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alibri"/>
  <w:font w:name="Times New Roman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2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SpPr/>
                          <wps:cNvPr id="10" name="Shape 10"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5400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widowControl w:val="1"/>
      <w:tabs>
        <w:tab w:val="center" w:leader="none" w:pos="4819"/>
        <w:tab w:val="right" w:leader="none" w:pos="9638"/>
      </w:tabs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3"/>
      <w:tblW w:w="9892.0" w:type="dxa"/>
      <w:jc w:val="left"/>
      <w:tblInd w:w="-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tblBorders>
      <w:tblLayout w:type="fixed"/>
      <w:tblLook w:val="0400"/>
    </w:tblPr>
    <w:tblGrid>
      <w:gridCol w:w="9892"/>
      <w:tblGridChange w:id="0">
        <w:tblGrid>
          <w:gridCol w:w="9892"/>
        </w:tblGrid>
      </w:tblGridChange>
    </w:tblGrid>
    <w:tr>
      <w:trPr>
        <w:cantSplit w:val="0"/>
        <w:trHeight w:val="273" w:hRule="atLeast"/>
        <w:tblHeader w:val="0"/>
      </w:trPr>
      <w:tc>
        <w:tcPr/>
        <w:p w:rsidR="00000000" w:rsidDel="00000000" w:rsidP="00000000" w:rsidRDefault="00000000" w:rsidRPr="00000000" w14:paraId="00000048">
          <w:pPr>
            <w:tabs>
              <w:tab w:val="center" w:leader="none" w:pos="4819"/>
              <w:tab w:val="right" w:leader="none" w:pos="9638"/>
              <w:tab w:val="left" w:leader="none" w:pos="0"/>
              <w:tab w:val="center" w:leader="none" w:pos="4876"/>
            </w:tabs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Referente del procedimento: A.A. Caterina Farina         Referente ufficio DSGA: Sost. A.A. Catanzariti  Pasquale</w:t>
          </w:r>
        </w:p>
        <w:p w:rsidR="00000000" w:rsidDel="00000000" w:rsidP="00000000" w:rsidRDefault="00000000" w:rsidRPr="00000000" w14:paraId="00000049">
          <w:pPr>
            <w:tabs>
              <w:tab w:val="center" w:leader="none" w:pos="4819"/>
              <w:tab w:val="right" w:leader="none" w:pos="9638"/>
              <w:tab w:val="left" w:leader="none" w:pos="0"/>
              <w:tab w:val="center" w:leader="none" w:pos="4876"/>
            </w:tabs>
            <w:rPr>
              <w:i w:val="1"/>
            </w:rPr>
          </w:pPr>
          <w:r w:rsidDel="00000000" w:rsidR="00000000" w:rsidRPr="00000000">
            <w:rPr>
              <w:i w:val="1"/>
              <w:rtl w:val="0"/>
            </w:rPr>
            <w:t xml:space="preserve">Docente referente: Gisella Bigi</w:t>
          </w:r>
        </w:p>
      </w:tc>
    </w:tr>
  </w:tbl>
  <w:p w:rsidR="00000000" w:rsidDel="00000000" w:rsidP="00000000" w:rsidRDefault="00000000" w:rsidRPr="00000000" w14:paraId="0000004A">
    <w:pPr>
      <w:widowControl w:val="1"/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A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C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2TGwCKTTt18GBkjtz11OoRfrg==">CgMxLjAyCGguZ2pkZ3hzMgloLjMwajB6bGwyCWguMWZvYjl0ZTIJaC4yZXQ5MnAwOAByITFOaXB6emlnOVFWQ2d2MDJIcVZPeFhycjZmM2hnUzUySg==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